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4"/>
          <w:szCs w:val="24"/>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ROSAC0022ZPB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Canaralele Dunării</w:t>
      </w:r>
    </w:p>
    <w:p w:rsidR="00000000" w:rsidDel="00000000" w:rsidP="00000000" w:rsidRDefault="00000000" w:rsidRPr="00000000" w14:paraId="0000000A">
      <w:pPr>
        <w:rPr>
          <w:b w:val="1"/>
          <w:bCs w:val="1"/>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p>
    <w:p w:rsidR="00000000" w:rsidDel="00000000" w:rsidP="00000000" w:rsidRDefault="00000000" w:rsidRPr="00000000" w14:paraId="0000000D">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E">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r>
    </w:p>
    <w:p w:rsidR="00000000" w:rsidDel="00000000" w:rsidP="00000000" w:rsidRDefault="00000000" w:rsidRPr="00000000" w14:paraId="00000046">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626,01</w:t>
      </w:r>
      <w:r w:rsidDel="00000000" w:rsidR="00000000" w:rsidRPr="00000000">
        <w:rPr>
          <w:rtl w:val="0"/>
        </w:rPr>
      </w:r>
    </w:p>
    <w:p w:rsidR="00000000" w:rsidDel="00000000" w:rsidP="00000000" w:rsidRDefault="00000000" w:rsidRPr="00000000" w14:paraId="0000004A">
      <w:pPr>
        <w:rPr>
          <w:sz w:val="22"/>
          <w:szCs w:val="22"/>
        </w:rPr>
      </w:pPr>
      <w:r w:rsidDel="00000000" w:rsidR="00000000" w:rsidRPr="00000000">
        <w:rPr>
          <w:rtl w:val="0"/>
        </w:rPr>
      </w:r>
    </w:p>
    <w:p w:rsidR="00000000" w:rsidDel="00000000" w:rsidP="00000000" w:rsidRDefault="00000000" w:rsidRPr="00000000" w14:paraId="0000004B">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2,40%</w:t>
      </w: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rtl w:val="0"/>
        </w:rPr>
      </w:r>
    </w:p>
    <w:p w:rsidR="00000000" w:rsidDel="00000000" w:rsidP="00000000" w:rsidRDefault="00000000" w:rsidRPr="00000000" w14:paraId="0000004E">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5"/>
        <w:gridCol w:w="442"/>
        <w:gridCol w:w="5383"/>
        <w:tblGridChange w:id="0">
          <w:tblGrid>
            <w:gridCol w:w="3155"/>
            <w:gridCol w:w="442"/>
            <w:gridCol w:w="5383"/>
          </w:tblGrid>
        </w:tblGridChange>
      </w:tblGrid>
      <w:tr>
        <w:trPr>
          <w:cantSplit w:val="0"/>
          <w:tblHeader w:val="0"/>
        </w:trPr>
        <w:tc>
          <w:tcPr/>
          <w:p w:rsidR="00000000" w:rsidDel="00000000" w:rsidP="00000000" w:rsidRDefault="00000000" w:rsidRPr="00000000" w14:paraId="0000004F">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0">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1">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RO22, RO31</w:t>
            </w:r>
          </w:p>
        </w:tc>
        <w:tc>
          <w:tcPr/>
          <w:p w:rsidR="00000000" w:rsidDel="00000000" w:rsidP="00000000" w:rsidRDefault="00000000" w:rsidRPr="00000000" w14:paraId="00000053">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sidDel="00000000" w:rsidR="00000000" w:rsidRPr="00000000">
              <w:rPr>
                <w:sz w:val="22"/>
                <w:szCs w:val="22"/>
                <w:rtl w:val="0"/>
              </w:rPr>
              <w:t xml:space="preserve">Sud-Est, Sud-Muntenia</w:t>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Călărași, Constanța, Ialomița</w:t>
      </w:r>
    </w:p>
    <w:p w:rsidR="00000000" w:rsidDel="00000000" w:rsidP="00000000" w:rsidRDefault="00000000" w:rsidRPr="00000000" w14:paraId="00000058">
      <w:pPr>
        <w:rPr>
          <w:sz w:val="22"/>
          <w:szCs w:val="22"/>
        </w:rPr>
      </w:pPr>
      <w:r w:rsidDel="00000000" w:rsidR="00000000" w:rsidRPr="00000000">
        <w:rPr>
          <w:rtl w:val="0"/>
        </w:rPr>
      </w:r>
    </w:p>
    <w:p w:rsidR="00000000" w:rsidDel="00000000" w:rsidP="00000000" w:rsidRDefault="00000000" w:rsidRPr="00000000" w14:paraId="00000059">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A">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100%</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62">
            <w:pPr>
              <w:rPr>
                <w:sz w:val="22"/>
                <w:szCs w:val="22"/>
              </w:rPr>
            </w:pPr>
            <w:r w:rsidDel="00000000" w:rsidR="00000000" w:rsidRPr="00000000">
              <w:rPr>
                <w:rtl w:val="0"/>
              </w:rPr>
            </w:r>
          </w:p>
        </w:tc>
        <w:tc>
          <w:tcPr/>
          <w:p w:rsidR="00000000" w:rsidDel="00000000" w:rsidP="00000000" w:rsidRDefault="00000000" w:rsidRPr="00000000" w14:paraId="00000063">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D">
      <w:pPr>
        <w:rPr>
          <w:b w:val="1"/>
          <w:bCs w:val="1"/>
          <w:sz w:val="22"/>
          <w:szCs w:val="22"/>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298,01</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RONPA0870 Ostrovul Șoimul, RONPA0872 Ostrovul Ciocănești, RONPA0875 Celea Mare - Valea lui Ene,</w:t>
      </w:r>
      <w:r w:rsidDel="00000000" w:rsidR="00000000" w:rsidRPr="00000000">
        <w:rPr>
          <w:color w:val="000000"/>
          <w:rtl w:val="0"/>
        </w:rPr>
        <w:t xml:space="preserve"> </w:t>
      </w:r>
      <w:r w:rsidDel="00000000" w:rsidR="00000000" w:rsidRPr="00000000">
        <w:rPr>
          <w:color w:val="000000"/>
          <w:sz w:val="22"/>
          <w:szCs w:val="22"/>
          <w:rtl w:val="0"/>
        </w:rPr>
        <w:t xml:space="preserve">RONPA0876 Pădurea Cetate; RONPA0877 Pădurea Bratca  ;</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Mari - 2355, Dealul Allah Bair - 2367, Ostrovul Șoimul - IV.19, Celea Mare-Valea lui Ene - IV.24, Pădurea Cetate - IV.25, Pădurea Bratca - IV.26, Canaralele din Portul Hârșova - 2.369, Locul fosilifer Cernavodă - 2.534, Punctul fosilifer Movila Banului;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sz w:val="22"/>
          <w:szCs w:val="22"/>
        </w:rPr>
      </w:pPr>
      <w:r w:rsidDel="00000000" w:rsidR="00000000" w:rsidRPr="00000000">
        <w:rPr>
          <w:rtl w:val="0"/>
        </w:rPr>
      </w:r>
    </w:p>
    <w:p w:rsidR="00000000" w:rsidDel="00000000" w:rsidP="00000000" w:rsidRDefault="00000000" w:rsidRPr="00000000" w14:paraId="00000078">
      <w:pPr>
        <w:spacing w:after="0" w:line="240" w:lineRule="auto"/>
        <w:rPr>
          <w:sz w:val="22"/>
          <w:szCs w:val="22"/>
        </w:rPr>
      </w:pPr>
      <w:r w:rsidDel="00000000" w:rsidR="00000000" w:rsidRPr="00000000">
        <w:rPr>
          <w:sz w:val="22"/>
          <w:szCs w:val="22"/>
          <w:rtl w:val="0"/>
        </w:rPr>
        <w:t xml:space="preserve">Informația ecologică</w:t>
      </w:r>
    </w:p>
    <w:tbl>
      <w:tblPr>
        <w:tblStyle w:val="Table8"/>
        <w:tblW w:w="8865.0" w:type="dxa"/>
        <w:jc w:val="left"/>
        <w:tblInd w:w="10.0" w:type="dxa"/>
        <w:tblLayout w:type="fixed"/>
        <w:tblLook w:val="0400"/>
      </w:tblPr>
      <w:tblGrid>
        <w:gridCol w:w="4212"/>
        <w:gridCol w:w="4653"/>
        <w:tblGridChange w:id="0">
          <w:tblGrid>
            <w:gridCol w:w="4212"/>
            <w:gridCol w:w="465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b w:val="1"/>
                <w:bCs w:val="1"/>
                <w:sz w:val="22"/>
                <w:szCs w:val="22"/>
              </w:rPr>
            </w:pPr>
            <w:r w:rsidDel="00000000" w:rsidR="00000000" w:rsidRPr="00000000">
              <w:rPr>
                <w:b w:val="1"/>
                <w:bCs w:val="1"/>
                <w:sz w:val="22"/>
                <w:szCs w:val="22"/>
                <w:rtl w:val="0"/>
              </w:rPr>
              <w:t xml:space="preserve">Habitate de păduri </w:t>
            </w:r>
          </w:p>
          <w:p w:rsidR="00000000" w:rsidDel="00000000" w:rsidP="00000000" w:rsidRDefault="00000000" w:rsidRPr="00000000" w14:paraId="0000007D">
            <w:pPr>
              <w:spacing w:after="0" w:line="240" w:lineRule="auto"/>
              <w:jc w:val="both"/>
              <w:rPr>
                <w:i w:val="1"/>
                <w:iCs w:val="1"/>
                <w:sz w:val="22"/>
                <w:szCs w:val="22"/>
              </w:rPr>
            </w:pPr>
            <w:r w:rsidDel="00000000" w:rsidR="00000000" w:rsidRPr="00000000">
              <w:rPr>
                <w:i w:val="1"/>
                <w:iCs w:val="1"/>
                <w:sz w:val="22"/>
                <w:szCs w:val="22"/>
                <w:rtl w:val="0"/>
              </w:rPr>
              <w:t xml:space="preserve">92A0 Zăvoaie cu Salix alba și Populus alba</w:t>
            </w:r>
          </w:p>
          <w:p w:rsidR="00000000" w:rsidDel="00000000" w:rsidP="00000000" w:rsidRDefault="00000000" w:rsidRPr="00000000" w14:paraId="0000007E">
            <w:pPr>
              <w:spacing w:after="0" w:line="240" w:lineRule="auto"/>
              <w:jc w:val="both"/>
              <w:rPr>
                <w:b w:val="1"/>
                <w:bCs w:val="1"/>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b w:val="1"/>
                <w:bCs w:val="1"/>
                <w:sz w:val="22"/>
                <w:szCs w:val="22"/>
                <w:rtl w:val="0"/>
              </w:rPr>
              <w:t xml:space="preserve">.</w:t>
            </w:r>
          </w:p>
          <w:p w:rsidR="00000000" w:rsidDel="00000000" w:rsidP="00000000" w:rsidRDefault="00000000" w:rsidRPr="00000000" w14:paraId="0000007F">
            <w:pPr>
              <w:spacing w:after="0" w:line="240" w:lineRule="auto"/>
              <w:jc w:val="both"/>
              <w:rPr>
                <w:b w:val="1"/>
                <w:bCs w:val="1"/>
                <w:sz w:val="22"/>
                <w:szCs w:val="22"/>
              </w:rPr>
            </w:pPr>
            <w:r w:rsidDel="00000000" w:rsidR="00000000" w:rsidRPr="00000000">
              <w:rPr>
                <w:b w:val="1"/>
                <w:bCs w:val="1"/>
                <w:sz w:val="22"/>
                <w:szCs w:val="22"/>
                <w:rtl w:val="0"/>
              </w:rPr>
              <w:t xml:space="preserve">Habitate de pajiști:</w:t>
            </w:r>
          </w:p>
          <w:p w:rsidR="00000000" w:rsidDel="00000000" w:rsidP="00000000" w:rsidRDefault="00000000" w:rsidRPr="00000000" w14:paraId="00000080">
            <w:pPr>
              <w:spacing w:after="0" w:line="240" w:lineRule="auto"/>
              <w:jc w:val="both"/>
              <w:rPr>
                <w:i w:val="1"/>
                <w:iCs w:val="1"/>
                <w:sz w:val="22"/>
                <w:szCs w:val="22"/>
              </w:rPr>
            </w:pPr>
            <w:r w:rsidDel="00000000" w:rsidR="00000000" w:rsidRPr="00000000">
              <w:rPr>
                <w:i w:val="1"/>
                <w:iCs w:val="1"/>
                <w:sz w:val="22"/>
                <w:szCs w:val="22"/>
                <w:rtl w:val="0"/>
              </w:rPr>
              <w:t xml:space="preserve">62C0* Stepe ponto-sarmatice</w:t>
            </w:r>
          </w:p>
          <w:p w:rsidR="00000000" w:rsidDel="00000000" w:rsidP="00000000" w:rsidRDefault="00000000" w:rsidRPr="00000000" w14:paraId="00000081">
            <w:pPr>
              <w:spacing w:after="0" w:line="24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082">
            <w:pPr>
              <w:spacing w:after="0" w:line="240" w:lineRule="auto"/>
              <w:jc w:val="both"/>
              <w:rPr>
                <w:i w:val="1"/>
                <w:iCs w:val="1"/>
                <w:sz w:val="22"/>
                <w:szCs w:val="22"/>
              </w:rPr>
            </w:pPr>
            <w:r w:rsidDel="00000000" w:rsidR="00000000" w:rsidRPr="00000000">
              <w:rPr>
                <w:i w:val="1"/>
                <w:iCs w:val="1"/>
                <w:sz w:val="22"/>
                <w:szCs w:val="22"/>
                <w:rtl w:val="0"/>
              </w:rPr>
              <w:t xml:space="preserve">40C0* Tufărișuri de foioase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87">
            <w:pPr>
              <w:spacing w:after="0" w:line="24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089">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A402 Accipiter brevipes</w:t>
              <w:br w:type="textWrapping"/>
              <w:t xml:space="preserve">A255 Anthus campestris</w:t>
              <w:br w:type="textWrapping"/>
              <w:t xml:space="preserve">A133 Burhinus oedicnemus</w:t>
              <w:br w:type="textWrapping"/>
              <w:t xml:space="preserve">A403 Buteo rufinus</w:t>
              <w:br w:type="textWrapping"/>
              <w:t xml:space="preserve">A243 Calandrella brachydactyla</w:t>
              <w:br w:type="textWrapping"/>
              <w:t xml:space="preserve">A224 Caprimulgus europaeus</w:t>
              <w:br w:type="textWrapping"/>
              <w:t xml:space="preserve">A030 Ciconia nigra</w:t>
              <w:br w:type="textWrapping"/>
              <w:t xml:space="preserve">A080 Circaetus gallicus</w:t>
              <w:br w:type="textWrapping"/>
              <w:t xml:space="preserve">A082 Circus cyaneus</w:t>
              <w:br w:type="textWrapping"/>
              <w:t xml:space="preserve">A083 Circus macrourus</w:t>
              <w:br w:type="textWrapping"/>
              <w:t xml:space="preserve">A084 Circus pygargus</w:t>
              <w:br w:type="textWrapping"/>
              <w:t xml:space="preserve">A231 Coracias garrulus</w:t>
              <w:br w:type="textWrapping"/>
              <w:t xml:space="preserve">A429 Dendrocopos syriacus</w:t>
              <w:br w:type="textWrapping"/>
              <w:t xml:space="preserve">A379 Emberiza hortulana</w:t>
              <w:br w:type="textWrapping"/>
              <w:t xml:space="preserve">A511 Falco cherrug</w:t>
              <w:br w:type="textWrapping"/>
              <w:t xml:space="preserve">A103 Falco peregrinus</w:t>
              <w:br w:type="textWrapping"/>
              <w:t xml:space="preserve">A097 Falco vespertinus</w:t>
              <w:br w:type="textWrapping"/>
              <w:t xml:space="preserve">A321 Ficedula albicollis</w:t>
              <w:br w:type="textWrapping"/>
              <w:t xml:space="preserve">A338 Lanius collurio</w:t>
              <w:br w:type="textWrapping"/>
              <w:t xml:space="preserve">A339 Lanius minor</w:t>
              <w:br w:type="textWrapping"/>
              <w:t xml:space="preserve">A246 Lullula arborea</w:t>
              <w:br w:type="textWrapping"/>
              <w:t xml:space="preserve">A234 Picus canus</w:t>
              <w:br w:type="textWrapping"/>
              <w:t xml:space="preserve">A307 Sylvia nisoria</w:t>
              <w:br w:type="textWrapping"/>
              <w:t xml:space="preserve">A397 Tadorna ferruginea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Zona include habitate de tufărișuri cu valoare conservativă ridicată, importante pentru menținerea mozaicului de habitate și a biodiversității asociate.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B01.02 - plantare artificială, pe teren deschis (copaci nenativi)</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91">
            <w:pPr>
              <w:spacing w:after="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59"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4">
            <w:pPr>
              <w:spacing w:after="0" w:line="259"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5">
            <w:pPr>
              <w:spacing w:after="0" w:line="259"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spacing w:after="0" w:line="259"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97">
            <w:pPr>
              <w:spacing w:after="0" w:line="259"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98">
            <w:pPr>
              <w:spacing w:after="0" w:line="259"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spacing w:after="0" w:line="259"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spacing w:after="0" w:line="259"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spacing w:after="0" w:line="259"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C">
            <w:pPr>
              <w:spacing w:after="0" w:line="259"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D">
            <w:pPr>
              <w:spacing w:after="0" w:line="259"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spacing w:after="0" w:line="259"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spacing w:after="0" w:line="259"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spacing w:after="0" w:line="259"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2">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BE">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E">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F">
            <w:pPr>
              <w:spacing w:after="0" w:lineRule="auto"/>
              <w:rPr>
                <w:color w:val="000000"/>
                <w:sz w:val="22"/>
                <w:szCs w:val="22"/>
              </w:rPr>
            </w:pPr>
            <w:r w:rsidDel="00000000" w:rsidR="00000000" w:rsidRPr="00000000">
              <w:rPr>
                <w:rtl w:val="0"/>
              </w:rPr>
            </w:r>
          </w:p>
          <w:p w:rsidR="00000000" w:rsidDel="00000000" w:rsidP="00000000" w:rsidRDefault="00000000" w:rsidRPr="00000000" w14:paraId="000000C0">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C1">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2">
            <w:pPr>
              <w:spacing w:after="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3">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C4">
            <w:pPr>
              <w:spacing w:after="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5">
            <w:pPr>
              <w:spacing w:after="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6">
            <w:pPr>
              <w:spacing w:after="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7">
            <w:pPr>
              <w:spacing w:after="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8">
            <w:pPr>
              <w:spacing w:after="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9">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CA">
            <w:pPr>
              <w:spacing w:after="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B">
            <w:pPr>
              <w:spacing w:after="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C">
            <w:pPr>
              <w:spacing w:after="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0">
            <w:pPr>
              <w:spacing w:after="0" w:lineRule="auto"/>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0">
            <w:pPr>
              <w:spacing w:after="0" w:lineRule="auto"/>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59" w:lineRule="auto"/>
              <w:jc w:val="both"/>
              <w:rPr>
                <w:b w:val="1"/>
                <w:bCs w:val="1"/>
                <w:sz w:val="22"/>
                <w:szCs w:val="22"/>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D3">
      <w:pPr>
        <w:rPr>
          <w:sz w:val="22"/>
          <w:szCs w:val="22"/>
        </w:rPr>
      </w:pPr>
      <w:r w:rsidDel="00000000" w:rsidR="00000000" w:rsidRPr="00000000">
        <w:rPr>
          <w:rtl w:val="0"/>
        </w:rPr>
      </w:r>
    </w:p>
    <w:p w:rsidR="00000000" w:rsidDel="00000000" w:rsidP="00000000" w:rsidRDefault="00000000" w:rsidRPr="00000000" w14:paraId="000000D4">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D5">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D7">
      <w:pPr>
        <w:rPr>
          <w:b w:val="1"/>
          <w:bCs w:val="1"/>
          <w:sz w:val="22"/>
          <w:szCs w:val="22"/>
        </w:rPr>
      </w:pPr>
      <w:r w:rsidDel="00000000" w:rsidR="00000000" w:rsidRPr="00000000">
        <w:rPr>
          <w:rtl w:val="0"/>
        </w:rPr>
      </w:r>
    </w:p>
    <w:p w:rsidR="00000000" w:rsidDel="00000000" w:rsidP="00000000" w:rsidRDefault="00000000" w:rsidRPr="00000000" w14:paraId="000000D8">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9">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328,00</w:t>
      </w:r>
      <w:r w:rsidDel="00000000" w:rsidR="00000000" w:rsidRPr="00000000">
        <w:rPr>
          <w:rtl w:val="0"/>
        </w:rPr>
      </w:r>
    </w:p>
    <w:p w:rsidR="00000000" w:rsidDel="00000000" w:rsidP="00000000" w:rsidRDefault="00000000" w:rsidRPr="00000000" w14:paraId="000000DB">
      <w:pPr>
        <w:rPr>
          <w:sz w:val="22"/>
          <w:szCs w:val="22"/>
        </w:rPr>
      </w:pPr>
      <w:r w:rsidDel="00000000" w:rsidR="00000000" w:rsidRPr="00000000">
        <w:rPr>
          <w:rtl w:val="0"/>
        </w:rPr>
      </w:r>
    </w:p>
    <w:p w:rsidR="00000000" w:rsidDel="00000000" w:rsidP="00000000" w:rsidRDefault="00000000" w:rsidRPr="00000000" w14:paraId="000000DC">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Mari - 2355, Dealul Allah Bair - 2367, Ostrovul Șoimul - IV.19, Celea Mare-Valea lui Ene - IV.24, Pădurea Cetate - IV.25, Pădurea Bratca - IV.26, Canaralele din Portul Hârșova - 2.369, Locul fosilifer Cernavodă - 2.534, Punctul fosilifer Movila Banului</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0">
      <w:pPr>
        <w:rPr>
          <w:sz w:val="22"/>
          <w:szCs w:val="22"/>
        </w:rPr>
      </w:pPr>
      <w:r w:rsidDel="00000000" w:rsidR="00000000" w:rsidRPr="00000000">
        <w:rPr>
          <w:rtl w:val="0"/>
        </w:rPr>
      </w:r>
    </w:p>
    <w:p w:rsidR="00000000" w:rsidDel="00000000" w:rsidP="00000000" w:rsidRDefault="00000000" w:rsidRPr="00000000" w14:paraId="000000E1">
      <w:pPr>
        <w:spacing w:after="0" w:line="240" w:lineRule="auto"/>
        <w:rPr>
          <w:sz w:val="22"/>
          <w:szCs w:val="22"/>
        </w:rPr>
      </w:pPr>
      <w:r w:rsidDel="00000000" w:rsidR="00000000" w:rsidRPr="00000000">
        <w:rPr>
          <w:sz w:val="22"/>
          <w:szCs w:val="22"/>
          <w:rtl w:val="0"/>
        </w:rPr>
        <w:t xml:space="preserve">Informația ecologică</w:t>
      </w:r>
    </w:p>
    <w:tbl>
      <w:tblPr>
        <w:tblStyle w:val="Table9"/>
        <w:tblW w:w="8802.0" w:type="dxa"/>
        <w:jc w:val="left"/>
        <w:tblInd w:w="10.0" w:type="dxa"/>
        <w:tblLayout w:type="fixed"/>
        <w:tblLook w:val="0400"/>
      </w:tblPr>
      <w:tblGrid>
        <w:gridCol w:w="4302"/>
        <w:gridCol w:w="4500"/>
        <w:tblGridChange w:id="0">
          <w:tblGrid>
            <w:gridCol w:w="4302"/>
            <w:gridCol w:w="45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240" w:lineRule="auto"/>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E6">
            <w:pPr>
              <w:spacing w:after="0" w:line="24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91I0* Vegetație de silvostepă eurosiberiană cu Quercus spp.</w:t>
            </w:r>
          </w:p>
          <w:p w:rsidR="00000000" w:rsidDel="00000000" w:rsidP="00000000" w:rsidRDefault="00000000" w:rsidRPr="00000000" w14:paraId="000000E7">
            <w:pPr>
              <w:spacing w:after="0" w:line="24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E8">
            <w:pPr>
              <w:spacing w:after="0" w:line="240" w:lineRule="auto"/>
              <w:jc w:val="both"/>
              <w:rPr>
                <w:i w:val="1"/>
                <w:iCs w:val="1"/>
                <w:sz w:val="22"/>
                <w:szCs w:val="22"/>
              </w:rPr>
            </w:pPr>
            <w:r w:rsidDel="00000000" w:rsidR="00000000" w:rsidRPr="00000000">
              <w:rPr>
                <w:i w:val="1"/>
                <w:iCs w:val="1"/>
                <w:sz w:val="22"/>
                <w:szCs w:val="22"/>
                <w:rtl w:val="0"/>
              </w:rPr>
              <w:t xml:space="preserve">Păduri mediteraneene caducifoliate</w:t>
            </w:r>
          </w:p>
          <w:p w:rsidR="00000000" w:rsidDel="00000000" w:rsidP="00000000" w:rsidRDefault="00000000" w:rsidRPr="00000000" w14:paraId="000000E9">
            <w:pPr>
              <w:spacing w:after="0" w:line="240" w:lineRule="auto"/>
              <w:jc w:val="both"/>
              <w:rPr>
                <w:i w:val="1"/>
                <w:iCs w:val="1"/>
                <w:sz w:val="22"/>
                <w:szCs w:val="22"/>
              </w:rPr>
            </w:pPr>
            <w:r w:rsidDel="00000000" w:rsidR="00000000" w:rsidRPr="00000000">
              <w:rPr>
                <w:i w:val="1"/>
                <w:iCs w:val="1"/>
                <w:sz w:val="22"/>
                <w:szCs w:val="22"/>
                <w:rtl w:val="0"/>
              </w:rPr>
              <w:t xml:space="preserve">92A0 Zăvoaie cu Salix alba și Populus alba</w:t>
            </w:r>
          </w:p>
          <w:p w:rsidR="00000000" w:rsidDel="00000000" w:rsidP="00000000" w:rsidRDefault="00000000" w:rsidRPr="00000000" w14:paraId="000000EA">
            <w:pPr>
              <w:spacing w:after="0" w:line="240" w:lineRule="auto"/>
              <w:rPr>
                <w:b w:val="1"/>
                <w:bCs w:val="1"/>
                <w:sz w:val="22"/>
                <w:szCs w:val="22"/>
              </w:rPr>
            </w:pPr>
            <w:r w:rsidDel="00000000" w:rsidR="00000000" w:rsidRPr="00000000">
              <w:rPr>
                <w:i w:val="1"/>
                <w:iCs w:val="1"/>
                <w:sz w:val="22"/>
                <w:szCs w:val="22"/>
                <w:rtl w:val="0"/>
              </w:rPr>
              <w:t xml:space="preserve">92D0 Galerii ripariene și tufărișuri (Nerio-Tamaricetea și Securinegion tinctoriae)</w:t>
            </w:r>
            <w:r w:rsidDel="00000000" w:rsidR="00000000" w:rsidRPr="00000000">
              <w:rPr>
                <w:rtl w:val="0"/>
              </w:rPr>
            </w:r>
          </w:p>
          <w:p w:rsidR="00000000" w:rsidDel="00000000" w:rsidP="00000000" w:rsidRDefault="00000000" w:rsidRPr="00000000" w14:paraId="000000EB">
            <w:pPr>
              <w:spacing w:after="0" w:line="240" w:lineRule="auto"/>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EE">
            <w:pPr>
              <w:spacing w:after="0" w:line="24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EF">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F0">
            <w:pPr>
              <w:spacing w:after="0" w:line="240" w:lineRule="auto"/>
              <w:rPr>
                <w:i w:val="1"/>
                <w:iCs w:val="1"/>
                <w:sz w:val="22"/>
                <w:szCs w:val="22"/>
              </w:rPr>
            </w:pPr>
            <w:r w:rsidDel="00000000" w:rsidR="00000000" w:rsidRPr="00000000">
              <w:rPr>
                <w:i w:val="1"/>
                <w:iCs w:val="1"/>
                <w:sz w:val="22"/>
                <w:szCs w:val="22"/>
                <w:rtl w:val="0"/>
              </w:rPr>
              <w:t xml:space="preserve">2236 Campanula romanica </w:t>
            </w:r>
          </w:p>
          <w:p w:rsidR="00000000" w:rsidDel="00000000" w:rsidP="00000000" w:rsidRDefault="00000000" w:rsidRPr="00000000" w14:paraId="000000F1">
            <w:pPr>
              <w:spacing w:after="0" w:line="240" w:lineRule="auto"/>
              <w:rPr>
                <w:i w:val="1"/>
                <w:iCs w:val="1"/>
                <w:sz w:val="22"/>
                <w:szCs w:val="22"/>
              </w:rPr>
            </w:pPr>
            <w:r w:rsidDel="00000000" w:rsidR="00000000" w:rsidRPr="00000000">
              <w:rPr>
                <w:i w:val="1"/>
                <w:iCs w:val="1"/>
                <w:sz w:val="22"/>
                <w:szCs w:val="22"/>
                <w:rtl w:val="0"/>
              </w:rPr>
              <w:t xml:space="preserve">2079 Moehringia jankae </w:t>
            </w:r>
          </w:p>
          <w:p w:rsidR="00000000" w:rsidDel="00000000" w:rsidP="00000000" w:rsidRDefault="00000000" w:rsidRPr="00000000" w14:paraId="000000F2">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3">
            <w:pPr>
              <w:spacing w:after="0" w:line="240" w:lineRule="auto"/>
              <w:rPr>
                <w:i w:val="1"/>
                <w:iCs w:val="1"/>
                <w:sz w:val="22"/>
                <w:szCs w:val="22"/>
              </w:rPr>
            </w:pPr>
            <w:r w:rsidDel="00000000" w:rsidR="00000000" w:rsidRPr="00000000">
              <w:rPr>
                <w:i w:val="1"/>
                <w:iCs w:val="1"/>
                <w:sz w:val="22"/>
                <w:szCs w:val="22"/>
                <w:rtl w:val="0"/>
              </w:rPr>
              <w:t xml:space="preserve">A402 Accipiter brevipes</w:t>
              <w:br w:type="textWrapping"/>
              <w:t xml:space="preserve">A255 Anthus campestris</w:t>
              <w:br w:type="textWrapping"/>
              <w:t xml:space="preserve">A133 Burhinus oedicnemus</w:t>
              <w:br w:type="textWrapping"/>
              <w:t xml:space="preserve">A403 Buteo rufinus</w:t>
              <w:br w:type="textWrapping"/>
              <w:t xml:space="preserve">A243 Calandrella brachydactyla</w:t>
              <w:br w:type="textWrapping"/>
              <w:t xml:space="preserve">A224 Caprimulgus europaeus</w:t>
              <w:br w:type="textWrapping"/>
              <w:t xml:space="preserve">A030 Ciconia nigra</w:t>
              <w:br w:type="textWrapping"/>
              <w:t xml:space="preserve">A080 Circaetus gallicus</w:t>
              <w:br w:type="textWrapping"/>
              <w:t xml:space="preserve">A082 Circus cyaneus</w:t>
              <w:br w:type="textWrapping"/>
              <w:t xml:space="preserve">A083 Circus macrourus</w:t>
              <w:br w:type="textWrapping"/>
              <w:t xml:space="preserve">A084 Circus pygargus</w:t>
              <w:br w:type="textWrapping"/>
              <w:t xml:space="preserve">A231 Coracias garrulus</w:t>
              <w:br w:type="textWrapping"/>
              <w:t xml:space="preserve">A429 Dendrocopos syriacus</w:t>
              <w:br w:type="textWrapping"/>
              <w:t xml:space="preserve">A379 Emberiza hortulana</w:t>
              <w:br w:type="textWrapping"/>
              <w:t xml:space="preserve">A511 Falco cherrug</w:t>
              <w:br w:type="textWrapping"/>
              <w:t xml:space="preserve">A103 Falco peregrinus</w:t>
              <w:br w:type="textWrapping"/>
              <w:t xml:space="preserve">A097 Falco vespertinus</w:t>
              <w:br w:type="textWrapping"/>
              <w:t xml:space="preserve">A321 Ficedula albicollis</w:t>
              <w:br w:type="textWrapping"/>
              <w:t xml:space="preserve">A338 Lanius collurio</w:t>
              <w:br w:type="textWrapping"/>
              <w:t xml:space="preserve">A339 Lanius minor</w:t>
              <w:br w:type="textWrapping"/>
              <w:t xml:space="preserve">A246 Lullula arborea</w:t>
              <w:br w:type="textWrapping"/>
              <w:t xml:space="preserve">A234 Picus canus</w:t>
              <w:br w:type="textWrapping"/>
              <w:t xml:space="preserve">A307 Sylvia nisoria</w:t>
              <w:br w:type="textWrapping"/>
              <w:t xml:space="preserve">A397 Tadorna ferruginea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jc w:val="both"/>
              <w:rPr>
                <w:sz w:val="22"/>
                <w:szCs w:val="22"/>
              </w:rPr>
            </w:pPr>
            <w:r w:rsidDel="00000000" w:rsidR="00000000" w:rsidRPr="00000000">
              <w:rPr>
                <w:rtl w:val="0"/>
              </w:rPr>
              <w:t xml:space="preserve">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Zona include habitate de tufărișuri cu valoare conservativă ridicată, importante pentru menținerea mozaicului de habitate și a biodiversității asociate.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jc w:val="both"/>
              <w:rPr>
                <w:sz w:val="22"/>
                <w:szCs w:val="22"/>
              </w:rPr>
            </w:pPr>
            <w:r w:rsidDel="00000000" w:rsidR="00000000" w:rsidRPr="00000000">
              <w:rPr>
                <w:sz w:val="22"/>
                <w:szCs w:val="22"/>
                <w:rtl w:val="0"/>
              </w:rPr>
              <w:t xml:space="preserve">B02.01.02 Replantarea pădurii (arbori nenativi); </w:t>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F9">
            <w:pPr>
              <w:spacing w:after="0" w:lineRule="auto"/>
              <w:jc w:val="both"/>
              <w:rPr>
                <w:sz w:val="22"/>
                <w:szCs w:val="22"/>
              </w:rPr>
            </w:pPr>
            <w:r w:rsidDel="00000000" w:rsidR="00000000" w:rsidRPr="00000000">
              <w:rPr>
                <w:sz w:val="22"/>
                <w:szCs w:val="22"/>
                <w:rtl w:val="0"/>
              </w:rPr>
              <w:t xml:space="preserve">A04.01 Pășunatul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259"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FC">
            <w:pPr>
              <w:spacing w:after="0" w:line="259"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FD">
            <w:pPr>
              <w:spacing w:after="0" w:line="259"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E">
            <w:pPr>
              <w:spacing w:after="0" w:line="259"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FF">
            <w:pPr>
              <w:spacing w:after="0" w:line="259"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100">
            <w:pPr>
              <w:spacing w:after="0" w:line="259"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1">
            <w:pPr>
              <w:spacing w:after="0" w:line="259"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2">
            <w:pPr>
              <w:spacing w:after="0" w:line="259"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3">
            <w:pPr>
              <w:spacing w:after="0" w:line="259"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4">
            <w:pPr>
              <w:spacing w:after="0" w:line="259"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05">
            <w:pPr>
              <w:spacing w:after="0" w:line="259"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6">
            <w:pPr>
              <w:spacing w:after="0" w:line="259"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7">
            <w:pPr>
              <w:spacing w:after="0" w:line="259"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8">
            <w:pPr>
              <w:spacing w:after="0" w:line="259"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9">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A">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27">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7">
            <w:pPr>
              <w:spacing w:after="0" w:line="276"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8">
            <w:pPr>
              <w:spacing w:after="0" w:line="276" w:lineRule="auto"/>
              <w:jc w:val="both"/>
              <w:rPr>
                <w:color w:val="000000"/>
                <w:sz w:val="22"/>
                <w:szCs w:val="22"/>
              </w:rPr>
            </w:pPr>
            <w:r w:rsidDel="00000000" w:rsidR="00000000" w:rsidRPr="00000000">
              <w:rPr>
                <w:rtl w:val="0"/>
              </w:rPr>
            </w:r>
          </w:p>
          <w:p w:rsidR="00000000" w:rsidDel="00000000" w:rsidP="00000000" w:rsidRDefault="00000000" w:rsidRPr="00000000" w14:paraId="00000129">
            <w:pPr>
              <w:spacing w:after="0" w:line="276" w:lineRule="auto"/>
              <w:jc w:val="both"/>
              <w:rPr>
                <w:color w:val="000000"/>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259" w:lineRule="auto"/>
              <w:jc w:val="both"/>
              <w:rPr>
                <w:b w:val="1"/>
                <w:bCs w:val="1"/>
                <w:sz w:val="22"/>
                <w:szCs w:val="22"/>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2C">
      <w:pPr>
        <w:rPr>
          <w:sz w:val="22"/>
          <w:szCs w:val="22"/>
        </w:rPr>
      </w:pPr>
      <w:r w:rsidDel="00000000" w:rsidR="00000000" w:rsidRPr="00000000">
        <w:rPr>
          <w:rtl w:val="0"/>
        </w:rPr>
      </w:r>
    </w:p>
    <w:p w:rsidR="00000000" w:rsidDel="00000000" w:rsidP="00000000" w:rsidRDefault="00000000" w:rsidRPr="00000000" w14:paraId="0000012D">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Papadopol A. (1970). Contribuții la cunoașterea avifaunei din sudul Dobrogei. Ocrot. Nat., 14/1: 49-60,</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Gastescu, P. (1971). Lacurile din Romania, Limnologie regionala, Ed. Acad. București.</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Munteanu, D., (coord.), (2004). Arii de importanță avifaunistică din România - Documentații. Societatea Ornitologica Romană.</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Munteanu, C., Gheorghe, I.G… Murariu D. (2009). Flora și fauna ostroavelor de pe Dunare. Brasov: Green Steps.</w:t>
      </w:r>
    </w:p>
    <w:p w:rsidR="00000000" w:rsidDel="00000000" w:rsidP="00000000" w:rsidRDefault="00000000" w:rsidRPr="00000000" w14:paraId="00000133">
      <w:pPr>
        <w:rPr>
          <w:sz w:val="22"/>
          <w:szCs w:val="22"/>
        </w:rPr>
      </w:pPr>
      <w:r w:rsidDel="00000000" w:rsidR="00000000" w:rsidRPr="00000000">
        <w:rPr>
          <w:rtl w:val="0"/>
        </w:rPr>
      </w:r>
    </w:p>
    <w:p w:rsidR="00000000" w:rsidDel="00000000" w:rsidP="00000000" w:rsidRDefault="00000000" w:rsidRPr="00000000" w14:paraId="00000134">
      <w:pPr>
        <w:rPr>
          <w:sz w:val="22"/>
          <w:szCs w:val="22"/>
        </w:rPr>
      </w:pPr>
      <w:r w:rsidDel="00000000" w:rsidR="00000000" w:rsidRPr="00000000">
        <w:rPr>
          <w:rtl w:val="0"/>
        </w:rPr>
      </w:r>
    </w:p>
    <w:p w:rsidR="00000000" w:rsidDel="00000000" w:rsidP="00000000" w:rsidRDefault="00000000" w:rsidRPr="00000000" w14:paraId="00000135">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4 octombrie 2024 - DS Călărași, 25 noiembrie 2024 – Slobozia,</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4 februarie 2025 – Constanța.</w:t>
      </w:r>
      <w:r w:rsidDel="00000000" w:rsidR="00000000" w:rsidRPr="00000000">
        <w:rPr>
          <w:color w:val="000000"/>
          <w:rtl w:val="0"/>
        </w:rPr>
        <w:t xml:space="preserve"> </w:t>
      </w:r>
      <w:r w:rsidDel="00000000" w:rsidR="00000000" w:rsidRPr="00000000">
        <w:rPr>
          <w:color w:val="000000"/>
          <w:sz w:val="22"/>
          <w:szCs w:val="22"/>
          <w:rtl w:val="0"/>
        </w:rPr>
        <w:t xml:space="preserve">Ulterior, în cadrul procesului de consultare extins la nivel național, au avut loc consultări suplimentare online, în data de 10 decembrie 2025 cu participarea factorilor interesați relevanți din județul Călărași, 21 ianuarie 2026 cu participarea factorilor interesați relevanți din județul Constanța și 29 ianuarie 2026 cu participarea factorilor interesați relevanți din județul Ialomița</w:t>
      </w:r>
    </w:p>
    <w:p w:rsidR="00000000" w:rsidDel="00000000" w:rsidP="00000000" w:rsidRDefault="00000000" w:rsidRPr="00000000" w14:paraId="00000138">
      <w:pPr>
        <w:rPr>
          <w:sz w:val="22"/>
          <w:szCs w:val="22"/>
        </w:rPr>
      </w:pPr>
      <w:r w:rsidDel="00000000" w:rsidR="00000000" w:rsidRPr="00000000">
        <w:rPr>
          <w:rtl w:val="0"/>
        </w:rPr>
      </w:r>
    </w:p>
    <w:p w:rsidR="00000000" w:rsidDel="00000000" w:rsidP="00000000" w:rsidRDefault="00000000" w:rsidRPr="00000000" w14:paraId="00000139">
      <w:pPr>
        <w:rPr>
          <w:sz w:val="22"/>
          <w:szCs w:val="22"/>
        </w:rPr>
      </w:pPr>
      <w:r w:rsidDel="00000000" w:rsidR="00000000" w:rsidRPr="00000000">
        <w:rPr>
          <w:rtl w:val="0"/>
        </w:rPr>
      </w:r>
    </w:p>
    <w:p w:rsidR="00000000" w:rsidDel="00000000" w:rsidP="00000000" w:rsidRDefault="00000000" w:rsidRPr="00000000" w14:paraId="0000013A">
      <w:pPr>
        <w:jc w:val="center"/>
        <w:rPr>
          <w:sz w:val="22"/>
          <w:szCs w:val="22"/>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3B">
      <w:pPr>
        <w:jc w:val="both"/>
        <w:rPr>
          <w:sz w:val="22"/>
          <w:szCs w:val="22"/>
        </w:rPr>
      </w:pPr>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3C">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MIyXDvPzF56Mk6OOHf8ZFD68Pg==">CgMxLjA4AHIhMXpmaGRnTmszNXhKdzN2XzM5MHVvM2l0a0tzTFRFdllS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